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tblBorders/>
        <w:jc w:val="left"/>
        <w:tblInd w:type="dxa" w:w="-108"/>
      </w:tblPr>
      <w:tblGrid>
        <w:gridCol w:w="4785"/>
        <w:gridCol w:w="5103"/>
      </w:tblGrid>
      <w:tr>
        <w:trPr>
          <w:cantSplit w:val="off"/>
        </w:trPr>
        <w:tc>
          <w:tcPr>
            <w:tcBorders/>
            <w:shd w:fill="auto"/>
            <w:tcW w:type="dxa" w:w="478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line="100" w:lineRule="atLeast"/>
            </w:pPr>
            <w:r>
              <w:rPr>
                <w:sz w:val="28"/>
                <w:szCs w:val="28"/>
              </w:rPr>
            </w:r>
          </w:p>
        </w:tc>
        <w:tc>
          <w:tcPr>
            <w:tcBorders/>
            <w:shd w:fill="auto"/>
            <w:tcW w:type="dxa" w:w="510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6"/>
              <w:jc w:val="center"/>
              <w:spacing w:line="240" w:lineRule="exact"/>
            </w:pPr>
            <w:r>
              <w:rPr>
                <w:szCs w:val="28"/>
              </w:rPr>
              <w:t>Приложение №4</w:t>
            </w:r>
          </w:p>
          <w:p>
            <w:pPr>
              <w:pStyle w:val="style27"/>
              <w:jc w:val="center"/>
              <w:tabs>
                <w:tab w:leader="none" w:pos="5812" w:val="left"/>
              </w:tabs>
            </w:pPr>
            <w:r>
              <w:rPr>
                <w:sz w:val="24"/>
                <w:szCs w:val="28"/>
                <w:rFonts w:ascii="Times New Roman" w:cs="Times New Roman" w:hAnsi="Times New Roman"/>
              </w:rPr>
              <w:t>к муниципальной программе города</w:t>
            </w:r>
            <w:r>
              <w:rPr>
                <w:szCs w:val="28"/>
                <w:rFonts w:cs="Times New Roman"/>
              </w:rPr>
              <w:t xml:space="preserve"> </w:t>
            </w:r>
            <w:r>
              <w:rPr>
                <w:sz w:val="24"/>
                <w:szCs w:val="28"/>
                <w:rFonts w:ascii="Times New Roman" w:cs="Times New Roman" w:hAnsi="Times New Roman"/>
              </w:rPr>
              <w:t xml:space="preserve">Рассказово «Экономическое развитие и инновационная экономика» </w:t>
            </w:r>
          </w:p>
          <w:p>
            <w:pPr>
              <w:pStyle w:val="style26"/>
              <w:jc w:val="center"/>
              <w:spacing w:line="240" w:lineRule="exact"/>
            </w:pPr>
            <w:r>
              <w:rPr>
                <w:szCs w:val="28"/>
                <w:rFonts w:cs="Times New Roman"/>
              </w:rPr>
              <w:t xml:space="preserve"> </w:t>
            </w:r>
            <w:r>
              <w:rPr>
                <w:szCs w:val="28"/>
              </w:rPr>
              <w:t xml:space="preserve"> </w:t>
            </w:r>
          </w:p>
        </w:tc>
      </w:tr>
    </w:tbl>
    <w:p>
      <w:pPr>
        <w:pStyle w:val="style27"/>
      </w:pPr>
      <w:r>
        <w:rPr>
          <w:sz w:val="24"/>
          <w:szCs w:val="28"/>
          <w:rFonts w:ascii="Times New Roman" w:cs="Times New Roman" w:hAnsi="Times New Roman"/>
        </w:rPr>
      </w:r>
    </w:p>
    <w:p>
      <w:pPr>
        <w:pStyle w:val="style27"/>
        <w:jc w:val="center"/>
      </w:pPr>
      <w:r>
        <w:rPr>
          <w:szCs w:val="28"/>
          <w:bCs/>
          <w:rFonts w:ascii="Times New Roman" w:cs="Times New Roman" w:hAnsi="Times New Roman"/>
        </w:rPr>
        <w:t>Подпрограмма</w:t>
      </w:r>
    </w:p>
    <w:p>
      <w:pPr>
        <w:pStyle w:val="style27"/>
        <w:jc w:val="center"/>
      </w:pPr>
      <w:r>
        <w:rPr>
          <w:szCs w:val="28"/>
          <w:bCs/>
          <w:rFonts w:ascii="Times New Roman" w:cs="Times New Roman" w:hAnsi="Times New Roman"/>
        </w:rPr>
        <w:t xml:space="preserve">«Формирование экономического потенциала» </w:t>
      </w:r>
    </w:p>
    <w:p>
      <w:pPr>
        <w:pStyle w:val="style27"/>
        <w:jc w:val="center"/>
      </w:pPr>
      <w:r>
        <w:rPr>
          <w:szCs w:val="28"/>
          <w:bCs/>
          <w:rFonts w:ascii="Times New Roman" w:cs="Times New Roman" w:hAnsi="Times New Roman"/>
        </w:rPr>
        <w:t>(далее - подпрограмма)</w:t>
      </w:r>
    </w:p>
    <w:p>
      <w:pPr>
        <w:pStyle w:val="style27"/>
        <w:jc w:val="center"/>
      </w:pPr>
      <w:r>
        <w:rPr>
          <w:szCs w:val="28"/>
          <w:rFonts w:ascii="Times New Roman" w:cs="Times New Roman" w:hAnsi="Times New Roman"/>
        </w:rPr>
      </w:r>
    </w:p>
    <w:p>
      <w:pPr>
        <w:pStyle w:val="style27"/>
        <w:jc w:val="center"/>
      </w:pPr>
      <w:r>
        <w:rPr>
          <w:szCs w:val="28"/>
          <w:rFonts w:ascii="Times New Roman" w:cs="Times New Roman" w:hAnsi="Times New Roman"/>
        </w:rPr>
        <w:t>Паспорт подпрограммы</w:t>
      </w:r>
    </w:p>
    <w:p>
      <w:pPr>
        <w:pStyle w:val="style27"/>
        <w:jc w:val="center"/>
      </w:pPr>
      <w:r>
        <w:rPr>
          <w:szCs w:val="28"/>
          <w:rFonts w:ascii="Times New Roman" w:cs="Times New Roman" w:hAnsi="Times New Roman"/>
        </w:rPr>
      </w:r>
    </w:p>
    <w:tbl>
      <w:tblPr>
        <w:tblBorders>
          <w:top w:color="00000A" w:space="0" w:sz="8" w:val="single"/>
          <w:left w:color="00000A" w:space="0" w:sz="8" w:val="single"/>
          <w:bottom w:color="00000A" w:space="0" w:sz="8" w:val="single"/>
          <w:right w:color="00000A" w:space="0" w:sz="8" w:val="single"/>
        </w:tblBorders>
        <w:jc w:val="left"/>
      </w:tblPr>
      <w:tblGrid>
        <w:gridCol w:w="2399"/>
        <w:gridCol w:w="7381"/>
      </w:tblGrid>
      <w:tr>
        <w:trPr>
          <w:trHeight w:hRule="atLeast" w:val="600"/>
          <w:cantSplit w:val="off"/>
        </w:trPr>
        <w:tc>
          <w:tcPr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/>
            <w:tcW w:type="dxa" w:w="2399"/>
            <w:tcMar>
              <w:top w:type="dxa" w:w="0"/>
              <w:left w:type="dxa" w:w="75"/>
              <w:bottom w:type="dxa" w:w="0"/>
              <w:right w:type="dxa" w:w="75"/>
            </w:tcMar>
          </w:tcPr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Разработчик     </w:t>
            </w:r>
          </w:p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подпрограммы      </w:t>
            </w:r>
          </w:p>
        </w:tc>
        <w:tc>
          <w:tcPr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/>
            <w:tcW w:type="dxa" w:w="7381"/>
            <w:tcMar>
              <w:top w:type="dxa" w:w="0"/>
              <w:left w:type="dxa" w:w="75"/>
              <w:bottom w:type="dxa" w:w="0"/>
              <w:right w:type="dxa" w:w="75"/>
            </w:tcMar>
          </w:tcPr>
          <w:p>
            <w:pPr>
              <w:pStyle w:val="style28"/>
            </w:pPr>
            <w:r>
              <w:rPr/>
              <w:t>Отдел по экономике, предпринимательству и социально-трудовым отношениям администрации города</w:t>
            </w:r>
          </w:p>
        </w:tc>
      </w:tr>
      <w:tr>
        <w:trPr>
          <w:trHeight w:hRule="atLeast" w:val="400"/>
          <w:cantSplit w:val="off"/>
        </w:trPr>
        <w:tc>
          <w:tcPr>
            <w:tcBorders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/>
            <w:tcW w:type="dxa" w:w="2399"/>
            <w:tcMar>
              <w:top w:type="dxa" w:w="0"/>
              <w:left w:type="dxa" w:w="75"/>
              <w:bottom w:type="dxa" w:w="0"/>
              <w:right w:type="dxa" w:w="75"/>
            </w:tcMar>
          </w:tcPr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Исполнитель     </w:t>
            </w:r>
          </w:p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подпрограммы      </w:t>
            </w:r>
          </w:p>
        </w:tc>
        <w:tc>
          <w:tcPr>
            <w:tcBorders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/>
            <w:tcW w:type="dxa" w:w="7381"/>
            <w:tcMar>
              <w:top w:type="dxa" w:w="0"/>
              <w:left w:type="dxa" w:w="75"/>
              <w:bottom w:type="dxa" w:w="0"/>
              <w:right w:type="dxa" w:w="75"/>
            </w:tcMar>
          </w:tcPr>
          <w:p>
            <w:pPr>
              <w:pStyle w:val="style28"/>
            </w:pPr>
            <w:r>
              <w:rPr/>
              <w:t>Отдел по экономике, предпринимательству и социально-трудовым отношениям администрации города</w:t>
            </w:r>
          </w:p>
        </w:tc>
      </w:tr>
      <w:tr>
        <w:trPr>
          <w:trHeight w:hRule="atLeast" w:val="600"/>
          <w:cantSplit w:val="off"/>
        </w:trPr>
        <w:tc>
          <w:tcPr>
            <w:tcBorders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/>
            <w:tcW w:type="dxa" w:w="2399"/>
            <w:tcMar>
              <w:top w:type="dxa" w:w="0"/>
              <w:left w:type="dxa" w:w="75"/>
              <w:bottom w:type="dxa" w:w="0"/>
              <w:right w:type="dxa" w:w="75"/>
            </w:tcMar>
          </w:tcPr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Цели подпрограммы </w:t>
            </w:r>
          </w:p>
        </w:tc>
        <w:tc>
          <w:tcPr>
            <w:tcBorders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/>
            <w:tcW w:type="dxa" w:w="7381"/>
            <w:tcMar>
              <w:top w:type="dxa" w:w="0"/>
              <w:left w:type="dxa" w:w="75"/>
              <w:bottom w:type="dxa" w:w="0"/>
              <w:right w:type="dxa" w:w="75"/>
            </w:tcMar>
          </w:tcPr>
          <w:p>
            <w:pPr>
              <w:pStyle w:val="style27"/>
            </w:pPr>
            <w:r>
              <w:rPr>
                <w:rFonts w:ascii="Times New Roman" w:cs="Times New Roman" w:hAnsi="Times New Roman"/>
              </w:rPr>
              <w:t xml:space="preserve">1.Повышение конкурентоспособности экономики и инвестиционной привлекательности города </w:t>
            </w:r>
          </w:p>
        </w:tc>
      </w:tr>
      <w:tr>
        <w:trPr>
          <w:trHeight w:hRule="atLeast" w:val="3200"/>
          <w:cantSplit w:val="off"/>
        </w:trPr>
        <w:tc>
          <w:tcPr>
            <w:tcBorders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/>
            <w:tcW w:type="dxa" w:w="2399"/>
            <w:tcMar>
              <w:top w:type="dxa" w:w="0"/>
              <w:left w:type="dxa" w:w="75"/>
              <w:bottom w:type="dxa" w:w="0"/>
              <w:right w:type="dxa" w:w="75"/>
            </w:tcMar>
          </w:tcPr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Задачи            </w:t>
            </w:r>
          </w:p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подпрограммы      </w:t>
            </w:r>
          </w:p>
        </w:tc>
        <w:tc>
          <w:tcPr>
            <w:tcBorders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/>
            <w:tcW w:type="dxa" w:w="7381"/>
            <w:tcMar>
              <w:top w:type="dxa" w:w="0"/>
              <w:left w:type="dxa" w:w="75"/>
              <w:bottom w:type="dxa" w:w="0"/>
              <w:right w:type="dxa" w:w="75"/>
            </w:tcMar>
          </w:tcPr>
          <w:p>
            <w:pPr>
              <w:pStyle w:val="style27"/>
            </w:pPr>
            <w:r>
              <w:rPr>
                <w:rFonts w:ascii="Times New Roman" w:cs="Times New Roman" w:hAnsi="Times New Roman"/>
              </w:rPr>
              <w:t xml:space="preserve">1.Формирование </w:t>
            </w:r>
            <w:r>
              <w:rPr>
                <w:szCs w:val="28"/>
              </w:rPr>
              <w:t>современного высоко технологического промышленного комплекса, способного конкурировать на общероссийском и международном уровнях.</w:t>
            </w:r>
          </w:p>
          <w:p>
            <w:pPr>
              <w:pStyle w:val="style27"/>
            </w:pPr>
            <w:r>
              <w:rPr>
                <w:szCs w:val="28"/>
              </w:rPr>
              <w:t>2. Создание благоприятных условий для эффективного развития субъектов малого и среднего предпринимательства в целях повышения его роли в реализации социально-экономических задач на территории города, обеспечение занятости населения и развитие самозанятости.</w:t>
            </w:r>
          </w:p>
          <w:p>
            <w:pPr>
              <w:pStyle w:val="style27"/>
            </w:pPr>
            <w:r>
              <w:rPr>
                <w:szCs w:val="28"/>
              </w:rPr>
              <w:t xml:space="preserve">3.Создание населению города комфортных условий для приобретения качественных и безопасных товаров, ориентированных на разные социальные группы потребителей, в первую очередь отечественного производства, в пределах территориальной доступности. </w:t>
            </w:r>
          </w:p>
          <w:p>
            <w:pPr>
              <w:pStyle w:val="style27"/>
            </w:pPr>
            <w:r>
              <w:rPr>
                <w:rFonts w:ascii="Times New Roman" w:cs="Times New Roman" w:hAnsi="Times New Roman"/>
              </w:rPr>
              <w:t xml:space="preserve">4.Привлечение инвестиций в экономику города. </w:t>
            </w:r>
          </w:p>
        </w:tc>
      </w:tr>
      <w:tr>
        <w:trPr>
          <w:trHeight w:hRule="atLeast" w:val="1200"/>
          <w:cantSplit w:val="off"/>
        </w:trPr>
        <w:tc>
          <w:tcPr>
            <w:tcBorders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/>
            <w:tcW w:type="dxa" w:w="2399"/>
            <w:tcMar>
              <w:top w:type="dxa" w:w="0"/>
              <w:left w:type="dxa" w:w="75"/>
              <w:bottom w:type="dxa" w:w="0"/>
              <w:right w:type="dxa" w:w="75"/>
            </w:tcMar>
          </w:tcPr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>Целевые индикаторы</w:t>
            </w:r>
          </w:p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и показатели      </w:t>
            </w:r>
          </w:p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подпрограммы, их  </w:t>
            </w:r>
          </w:p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значения на       </w:t>
            </w:r>
          </w:p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последний год     </w:t>
            </w:r>
          </w:p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реализации        </w:t>
            </w:r>
          </w:p>
        </w:tc>
        <w:tc>
          <w:tcPr>
            <w:tcBorders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/>
            <w:tcW w:type="dxa" w:w="7381"/>
            <w:tcMar>
              <w:top w:type="dxa" w:w="0"/>
              <w:left w:type="dxa" w:w="75"/>
              <w:bottom w:type="dxa" w:w="0"/>
              <w:right w:type="dxa" w:w="75"/>
            </w:tcMar>
          </w:tcPr>
          <w:p>
            <w:pPr>
              <w:pStyle w:val="style27"/>
            </w:pPr>
            <w:r>
              <w:rPr/>
              <w:t>1</w:t>
            </w:r>
            <w:r>
              <w:rPr>
                <w:rFonts w:ascii="Times New Roman" w:cs="Times New Roman" w:hAnsi="Times New Roman"/>
              </w:rPr>
              <w:t xml:space="preserve">. Темп роста отгруженной промышленной продукции - 115%. </w:t>
            </w:r>
          </w:p>
          <w:p>
            <w:pPr>
              <w:pStyle w:val="style27"/>
            </w:pPr>
            <w:r>
              <w:rPr>
                <w:rFonts w:ascii="Times New Roman" w:cs="Times New Roman" w:hAnsi="Times New Roman"/>
              </w:rPr>
              <w:t>2.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города - 41,3 %.</w:t>
            </w:r>
          </w:p>
          <w:p>
            <w:pPr>
              <w:pStyle w:val="style29"/>
              <w:jc w:val="both"/>
            </w:pPr>
            <w:r>
              <w:rPr>
                <w:sz w:val="28"/>
                <w:szCs w:val="28"/>
              </w:rPr>
              <w:t>3. Создание дополнительных рабочих мест в малых и средних предприятиях - 140 человек.</w:t>
            </w:r>
          </w:p>
          <w:p>
            <w:pPr>
              <w:pStyle w:val="style29"/>
              <w:jc w:val="both"/>
            </w:pPr>
            <w:r>
              <w:rPr>
                <w:sz w:val="28"/>
                <w:szCs w:val="28"/>
              </w:rPr>
              <w:t>4. Индекс физического объема розничного товарооборота  во всех каналах реализации - 111,5 %.</w:t>
            </w:r>
          </w:p>
          <w:p>
            <w:pPr>
              <w:pStyle w:val="style29"/>
              <w:jc w:val="both"/>
            </w:pPr>
            <w:r>
              <w:rPr>
                <w:sz w:val="28"/>
                <w:szCs w:val="28"/>
              </w:rPr>
              <w:t>4. Индекс физического объема розничного товарооборота  рынка - 103,8 %.</w:t>
            </w:r>
          </w:p>
          <w:p>
            <w:pPr>
              <w:pStyle w:val="style27"/>
            </w:pPr>
            <w:r>
              <w:rPr>
                <w:rFonts w:ascii="Times New Roman" w:cs="Times New Roman" w:hAnsi="Times New Roman"/>
              </w:rPr>
              <w:t xml:space="preserve">5. </w:t>
            </w:r>
            <w:r>
              <w:rPr>
                <w:szCs w:val="28"/>
                <w:rFonts w:ascii="Times New Roman" w:cs="Times New Roman" w:hAnsi="Times New Roman"/>
              </w:rPr>
              <w:t>Индекс физического объема инвестиций в основной капитал - 118 %.</w:t>
            </w:r>
          </w:p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6. Инвестиции в основной капитал (за исключением         </w:t>
            </w:r>
          </w:p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бюджетных средств) в расчете на одного человека -     </w:t>
            </w:r>
          </w:p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9730 руб.                                        </w:t>
            </w:r>
          </w:p>
        </w:tc>
      </w:tr>
      <w:tr>
        <w:trPr>
          <w:trHeight w:hRule="atLeast" w:val="600"/>
          <w:cantSplit w:val="off"/>
        </w:trPr>
        <w:tc>
          <w:tcPr>
            <w:tcBorders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/>
            <w:tcW w:type="dxa" w:w="2399"/>
            <w:tcMar>
              <w:top w:type="dxa" w:w="0"/>
              <w:left w:type="dxa" w:w="75"/>
              <w:bottom w:type="dxa" w:w="0"/>
              <w:right w:type="dxa" w:w="75"/>
            </w:tcMar>
          </w:tcPr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Сроки и этапы     </w:t>
            </w:r>
          </w:p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реализации        </w:t>
            </w:r>
          </w:p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подпрограммы      </w:t>
            </w:r>
          </w:p>
        </w:tc>
        <w:tc>
          <w:tcPr>
            <w:tcBorders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/>
            <w:tcW w:type="dxa" w:w="7381"/>
            <w:tcMar>
              <w:top w:type="dxa" w:w="0"/>
              <w:left w:type="dxa" w:w="75"/>
              <w:bottom w:type="dxa" w:w="0"/>
              <w:right w:type="dxa" w:w="75"/>
            </w:tcMar>
          </w:tcPr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2014 - 2020 годы. </w:t>
            </w:r>
          </w:p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Выделение этапов не предусматривается                                     </w:t>
            </w:r>
          </w:p>
        </w:tc>
      </w:tr>
      <w:tr>
        <w:trPr>
          <w:trHeight w:hRule="atLeast" w:val="1115"/>
          <w:cantSplit w:val="off"/>
        </w:trPr>
        <w:tc>
          <w:tcPr>
            <w:tcBorders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/>
            <w:tcW w:type="dxa" w:w="2399"/>
            <w:tcMar>
              <w:top w:type="dxa" w:w="0"/>
              <w:left w:type="dxa" w:w="75"/>
              <w:bottom w:type="dxa" w:w="0"/>
              <w:right w:type="dxa" w:w="75"/>
            </w:tcMar>
          </w:tcPr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>Объемы и источники</w:t>
            </w:r>
          </w:p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финансирования    </w:t>
            </w:r>
          </w:p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подпрограммы      </w:t>
            </w:r>
          </w:p>
        </w:tc>
        <w:tc>
          <w:tcPr>
            <w:tcBorders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/>
            <w:tcW w:type="dxa" w:w="7381"/>
            <w:tcMar>
              <w:top w:type="dxa" w:w="0"/>
              <w:left w:type="dxa" w:w="75"/>
              <w:bottom w:type="dxa" w:w="0"/>
              <w:right w:type="dxa" w:w="75"/>
            </w:tcMar>
          </w:tcPr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Общие затраты на реализацию подпрограммы за счет всех источников финансирования - 17000 тыс.руб.:                                             </w:t>
            </w:r>
          </w:p>
          <w:p>
            <w:pPr>
              <w:pStyle w:val="style27"/>
              <w:ind w:hanging="0" w:left="1069" w:right="0"/>
            </w:pPr>
            <w:r>
              <w:rPr>
                <w:sz w:val="24"/>
                <w:szCs w:val="28"/>
                <w:rFonts w:ascii="Times New Roman" w:cs="Times New Roman" w:hAnsi="Times New Roman"/>
              </w:rPr>
              <w:t xml:space="preserve">2014 год - 17000 тыс.руб.;                           </w:t>
            </w:r>
          </w:p>
          <w:p>
            <w:pPr>
              <w:pStyle w:val="style27"/>
              <w:ind w:hanging="0" w:left="1069" w:right="0"/>
            </w:pPr>
            <w:r>
              <w:rPr>
                <w:sz w:val="24"/>
                <w:szCs w:val="28"/>
                <w:rFonts w:ascii="Times New Roman" w:cs="Times New Roman" w:hAnsi="Times New Roman"/>
              </w:rPr>
              <w:t xml:space="preserve">2015 год - 0 тыс.руб.;                           </w:t>
            </w:r>
          </w:p>
          <w:p>
            <w:pPr>
              <w:pStyle w:val="style27"/>
              <w:ind w:hanging="0" w:left="1069" w:right="0"/>
            </w:pPr>
            <w:r>
              <w:rPr>
                <w:sz w:val="24"/>
                <w:szCs w:val="28"/>
                <w:rFonts w:ascii="Times New Roman" w:cs="Times New Roman" w:hAnsi="Times New Roman"/>
              </w:rPr>
              <w:t xml:space="preserve">2016 год - 0 тыс.руб.;                           </w:t>
            </w:r>
          </w:p>
          <w:p>
            <w:pPr>
              <w:pStyle w:val="style27"/>
              <w:ind w:hanging="0" w:left="1069" w:right="0"/>
            </w:pPr>
            <w:r>
              <w:rPr>
                <w:sz w:val="24"/>
                <w:szCs w:val="28"/>
                <w:rFonts w:ascii="Times New Roman" w:cs="Times New Roman" w:hAnsi="Times New Roman"/>
              </w:rPr>
              <w:t xml:space="preserve">2017 год - 0 тыс.руб.;                           </w:t>
            </w:r>
          </w:p>
          <w:p>
            <w:pPr>
              <w:pStyle w:val="style27"/>
              <w:ind w:hanging="0" w:left="1069" w:right="0"/>
            </w:pPr>
            <w:r>
              <w:rPr>
                <w:sz w:val="24"/>
                <w:szCs w:val="28"/>
                <w:rFonts w:ascii="Times New Roman" w:cs="Times New Roman" w:hAnsi="Times New Roman"/>
              </w:rPr>
              <w:t xml:space="preserve">2018 год - 0 тыс.руб.;                           </w:t>
            </w:r>
          </w:p>
          <w:p>
            <w:pPr>
              <w:pStyle w:val="style27"/>
              <w:ind w:hanging="0" w:left="1069" w:right="0"/>
            </w:pPr>
            <w:r>
              <w:rPr>
                <w:sz w:val="24"/>
                <w:szCs w:val="28"/>
                <w:rFonts w:ascii="Times New Roman" w:cs="Times New Roman" w:hAnsi="Times New Roman"/>
              </w:rPr>
              <w:t xml:space="preserve">2019 год - 0 тыс.руб.;                           </w:t>
            </w:r>
          </w:p>
          <w:p>
            <w:pPr>
              <w:pStyle w:val="style27"/>
              <w:ind w:hanging="0" w:left="1069" w:right="0"/>
            </w:pPr>
            <w:r>
              <w:rPr>
                <w:sz w:val="24"/>
                <w:szCs w:val="28"/>
                <w:rFonts w:ascii="Times New Roman" w:cs="Times New Roman" w:hAnsi="Times New Roman"/>
              </w:rPr>
              <w:t xml:space="preserve">2020 год - 0 тыс.руб.,                           </w:t>
            </w:r>
          </w:p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в том числе по источникам финансирования:             </w:t>
            </w:r>
          </w:p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областной бюджет - 7000 тыс.руб.:                    </w:t>
            </w:r>
          </w:p>
          <w:p>
            <w:pPr>
              <w:pStyle w:val="style27"/>
              <w:ind w:hanging="0" w:left="1069" w:right="0"/>
            </w:pPr>
            <w:r>
              <w:rPr>
                <w:sz w:val="24"/>
                <w:szCs w:val="28"/>
                <w:rFonts w:ascii="Times New Roman" w:cs="Times New Roman" w:hAnsi="Times New Roman"/>
              </w:rPr>
              <w:t xml:space="preserve">2014 год - 7000,0 тыс.руб.;                           </w:t>
            </w:r>
          </w:p>
          <w:p>
            <w:pPr>
              <w:pStyle w:val="style27"/>
              <w:ind w:hanging="0" w:left="1069" w:right="0"/>
            </w:pPr>
            <w:r>
              <w:rPr>
                <w:sz w:val="24"/>
                <w:szCs w:val="28"/>
                <w:rFonts w:ascii="Times New Roman" w:cs="Times New Roman" w:hAnsi="Times New Roman"/>
              </w:rPr>
              <w:t xml:space="preserve">2015 год - 0 тыс.руб.;                           </w:t>
            </w:r>
          </w:p>
          <w:p>
            <w:pPr>
              <w:pStyle w:val="style27"/>
              <w:ind w:hanging="0" w:left="1069" w:right="0"/>
            </w:pPr>
            <w:r>
              <w:rPr>
                <w:sz w:val="24"/>
                <w:szCs w:val="28"/>
                <w:rFonts w:ascii="Times New Roman" w:cs="Times New Roman" w:hAnsi="Times New Roman"/>
              </w:rPr>
              <w:t xml:space="preserve">2016 год - 0 тыс.руб.;                           </w:t>
            </w:r>
          </w:p>
          <w:p>
            <w:pPr>
              <w:pStyle w:val="style27"/>
              <w:ind w:hanging="0" w:left="1069" w:right="0"/>
            </w:pPr>
            <w:r>
              <w:rPr>
                <w:sz w:val="24"/>
                <w:szCs w:val="28"/>
                <w:rFonts w:ascii="Times New Roman" w:cs="Times New Roman" w:hAnsi="Times New Roman"/>
              </w:rPr>
              <w:t xml:space="preserve">2017 год - 0 тыс.руб.;                           </w:t>
            </w:r>
          </w:p>
          <w:p>
            <w:pPr>
              <w:pStyle w:val="style27"/>
              <w:ind w:hanging="0" w:left="1069" w:right="0"/>
            </w:pPr>
            <w:r>
              <w:rPr>
                <w:sz w:val="24"/>
                <w:szCs w:val="28"/>
                <w:rFonts w:ascii="Times New Roman" w:cs="Times New Roman" w:hAnsi="Times New Roman"/>
              </w:rPr>
              <w:t xml:space="preserve">2018 год - 0 тыс.руб.;                           </w:t>
            </w:r>
          </w:p>
          <w:p>
            <w:pPr>
              <w:pStyle w:val="style27"/>
              <w:ind w:hanging="0" w:left="1069" w:right="0"/>
            </w:pPr>
            <w:r>
              <w:rPr>
                <w:sz w:val="24"/>
                <w:szCs w:val="28"/>
                <w:rFonts w:ascii="Times New Roman" w:cs="Times New Roman" w:hAnsi="Times New Roman"/>
              </w:rPr>
              <w:t xml:space="preserve">2019 год - 0 тыс.руб.;                           </w:t>
            </w:r>
          </w:p>
          <w:p>
            <w:pPr>
              <w:pStyle w:val="style27"/>
              <w:ind w:hanging="0" w:left="1069" w:right="0"/>
            </w:pPr>
            <w:r>
              <w:rPr>
                <w:sz w:val="24"/>
                <w:szCs w:val="28"/>
                <w:rFonts w:ascii="Times New Roman" w:cs="Times New Roman" w:hAnsi="Times New Roman"/>
              </w:rPr>
              <w:t xml:space="preserve">2020 год - 0 тыс.руб.,                           </w:t>
            </w:r>
          </w:p>
          <w:p>
            <w:pPr>
              <w:pStyle w:val="style27"/>
            </w:pPr>
            <w:r>
              <w:rPr>
                <w:szCs w:val="28"/>
                <w:rFonts w:ascii="Times New Roman" w:cs="Times New Roman" w:hAnsi="Times New Roman"/>
              </w:rPr>
              <w:t xml:space="preserve">городской бюджет - 10000 тыс.руб.:                </w:t>
            </w:r>
          </w:p>
          <w:p>
            <w:pPr>
              <w:pStyle w:val="style27"/>
              <w:ind w:hanging="0" w:left="1069" w:right="0"/>
            </w:pPr>
            <w:r>
              <w:rPr>
                <w:sz w:val="24"/>
                <w:szCs w:val="28"/>
                <w:rFonts w:ascii="Times New Roman" w:cs="Times New Roman" w:hAnsi="Times New Roman"/>
              </w:rPr>
              <w:t xml:space="preserve">2014 год - 10000,0 тыс.руб.;                            </w:t>
            </w:r>
          </w:p>
          <w:p>
            <w:pPr>
              <w:pStyle w:val="style27"/>
              <w:ind w:hanging="0" w:left="1069" w:right="0"/>
            </w:pPr>
            <w:r>
              <w:rPr>
                <w:sz w:val="24"/>
                <w:szCs w:val="28"/>
                <w:rFonts w:ascii="Times New Roman" w:cs="Times New Roman" w:hAnsi="Times New Roman"/>
              </w:rPr>
              <w:t xml:space="preserve">2015 год - 0 тыс.руб.;                            </w:t>
            </w:r>
          </w:p>
          <w:p>
            <w:pPr>
              <w:pStyle w:val="style27"/>
              <w:ind w:hanging="0" w:left="1069" w:right="0"/>
            </w:pPr>
            <w:r>
              <w:rPr>
                <w:sz w:val="24"/>
                <w:szCs w:val="28"/>
                <w:rFonts w:ascii="Times New Roman" w:cs="Times New Roman" w:hAnsi="Times New Roman"/>
              </w:rPr>
              <w:t xml:space="preserve">2016 год - 0 тыс.руб.;                            </w:t>
            </w:r>
          </w:p>
          <w:p>
            <w:pPr>
              <w:pStyle w:val="style27"/>
              <w:ind w:hanging="0" w:left="1069" w:right="0"/>
            </w:pPr>
            <w:r>
              <w:rPr>
                <w:sz w:val="24"/>
                <w:szCs w:val="28"/>
                <w:rFonts w:ascii="Times New Roman" w:cs="Times New Roman" w:hAnsi="Times New Roman"/>
              </w:rPr>
              <w:t xml:space="preserve">2017 год - 0 тыс.руб.;                            </w:t>
            </w:r>
          </w:p>
          <w:p>
            <w:pPr>
              <w:pStyle w:val="style27"/>
              <w:ind w:hanging="0" w:left="1069" w:right="0"/>
            </w:pPr>
            <w:r>
              <w:rPr>
                <w:sz w:val="24"/>
                <w:szCs w:val="28"/>
                <w:rFonts w:ascii="Times New Roman" w:cs="Times New Roman" w:hAnsi="Times New Roman"/>
              </w:rPr>
              <w:t xml:space="preserve">2018 год - 0 тыс.руб.;                            </w:t>
            </w:r>
          </w:p>
          <w:p>
            <w:pPr>
              <w:pStyle w:val="style27"/>
              <w:ind w:hanging="0" w:left="1069" w:right="0"/>
            </w:pPr>
            <w:r>
              <w:rPr>
                <w:sz w:val="24"/>
                <w:szCs w:val="28"/>
                <w:rFonts w:ascii="Times New Roman" w:cs="Times New Roman" w:hAnsi="Times New Roman"/>
              </w:rPr>
              <w:t xml:space="preserve">2019 год - 0 тыс.руб.;                            </w:t>
            </w:r>
          </w:p>
          <w:p>
            <w:pPr>
              <w:pStyle w:val="style27"/>
              <w:ind w:hanging="0" w:left="1069" w:right="0"/>
            </w:pPr>
            <w:r>
              <w:rPr>
                <w:sz w:val="24"/>
                <w:szCs w:val="28"/>
                <w:rFonts w:ascii="Times New Roman" w:cs="Times New Roman" w:hAnsi="Times New Roman"/>
              </w:rPr>
              <w:t xml:space="preserve">2020 год - 0 тыс.руб. </w:t>
            </w:r>
          </w:p>
        </w:tc>
      </w:tr>
    </w:tbl>
    <w:p>
      <w:pPr>
        <w:pStyle w:val="style28"/>
      </w:pPr>
      <w:r>
        <w:rPr/>
      </w:r>
    </w:p>
    <w:p>
      <w:pPr>
        <w:pStyle w:val="style27"/>
        <w:jc w:val="center"/>
      </w:pPr>
      <w:r>
        <w:rPr>
          <w:u w:val="single"/>
        </w:rPr>
        <w:t>1. Общая характеристика сферы реализации подпрограммы</w:t>
      </w:r>
    </w:p>
    <w:p>
      <w:pPr>
        <w:pStyle w:val="style27"/>
        <w:jc w:val="center"/>
      </w:pPr>
      <w:r>
        <w:rPr>
          <w:u w:val="single"/>
        </w:rPr>
      </w:r>
    </w:p>
    <w:p>
      <w:pPr>
        <w:pStyle w:val="style27"/>
        <w:ind w:firstLine="708" w:left="0" w:right="0"/>
      </w:pPr>
      <w:r>
        <w:rPr/>
        <w:t xml:space="preserve">Настоящая подпрограмма устанавливает меры созданию благоприятного инвестиционного климата и условия для ведения бизнеса. </w:t>
      </w:r>
    </w:p>
    <w:p>
      <w:pPr>
        <w:pStyle w:val="style27"/>
        <w:ind w:firstLine="708" w:left="0" w:right="0"/>
      </w:pPr>
      <w:r>
        <w:rPr/>
        <w:t>Повышение конкурентоспособности экономики и инвестиционной привлекательности города является главной целью в формировании экономического потенциала города.</w:t>
      </w:r>
    </w:p>
    <w:p>
      <w:pPr>
        <w:pStyle w:val="style30"/>
      </w:pPr>
      <w:r>
        <w:rPr>
          <w:rFonts w:ascii="Times New Roman" w:hAnsi="Times New Roman"/>
        </w:rPr>
        <w:t>Для достижения поставленной цели администрация города в последние три года выделила основные приоритетные направления деятельности, такие как: изыскание резервов роста доходной части бюджета, повышение уровня заработной платы, стабильная ситуация на рынке труда, улучшение благоустройства города и условий проживания для горожан.</w:t>
      </w:r>
    </w:p>
    <w:p>
      <w:pPr>
        <w:pStyle w:val="style30"/>
      </w:pPr>
      <w:r>
        <w:rPr>
          <w:rFonts w:ascii="Times New Roman" w:hAnsi="Times New Roman"/>
        </w:rPr>
        <w:t xml:space="preserve">В рейтинге оценки эффективности деятельности органов местного самоуправления Тамбовской области город Рассказово занял 3 место среди муниципалитетов по итогам 2010 года, 2 место по итогам 2011 года. </w:t>
      </w:r>
    </w:p>
    <w:p>
      <w:pPr>
        <w:pStyle w:val="style30"/>
      </w:pPr>
      <w:r>
        <w:rPr>
          <w:rFonts w:ascii="Times New Roman" w:hAnsi="Times New Roman"/>
        </w:rPr>
        <w:t xml:space="preserve">Устойчивая динамика социально-экономического развития города последних лет позволила сохранить достаточно высокие результаты в реальном секторе экономики и социальной сфере и в 2012 году.  </w:t>
      </w:r>
    </w:p>
    <w:p>
      <w:pPr>
        <w:pStyle w:val="style30"/>
      </w:pPr>
      <w:r>
        <w:rPr>
          <w:rFonts w:ascii="Times New Roman" w:hAnsi="Times New Roman"/>
        </w:rPr>
        <w:t>По итогам комплексной оценки эффективности деятельности органов местного самоуправления за 2012 год, с учетом результатов мониторинга, оценки населением, город Рассказово занял первое место среди городов области.</w:t>
      </w:r>
    </w:p>
    <w:p>
      <w:pPr>
        <w:pStyle w:val="style30"/>
      </w:pPr>
      <w:r>
        <w:rPr>
          <w:rFonts w:ascii="Times New Roman" w:hAnsi="Times New Roman"/>
        </w:rPr>
        <w:t>За последние годы наблюдается явное улучшение позиций по таким показателям, как: инвестиции в основной капитал, размер заработной платы работников, в том числе сферы образования, здравоохранения, темп роста жилищного строительства, степень благоустройства, а также показатель удовлетворенности населения социально-экономической и политической ситуации в городе.</w:t>
      </w:r>
    </w:p>
    <w:p>
      <w:pPr>
        <w:pStyle w:val="style30"/>
        <w:jc w:val="center"/>
        <w:ind w:hanging="0" w:left="0" w:right="0"/>
      </w:pPr>
      <w:r>
        <w:rPr>
          <w:u w:val="single"/>
          <w:rFonts w:ascii="Times New Roman" w:hAnsi="Times New Roman"/>
        </w:rPr>
      </w:r>
    </w:p>
    <w:p>
      <w:pPr>
        <w:pStyle w:val="style30"/>
        <w:jc w:val="center"/>
        <w:ind w:hanging="0" w:left="0" w:right="0"/>
      </w:pPr>
      <w:r>
        <w:rPr>
          <w:u w:val="single"/>
          <w:rFonts w:ascii="Times New Roman" w:hAnsi="Times New Roman"/>
        </w:rPr>
        <w:t xml:space="preserve">2.  Приоритеты городской политики в сфере реализации </w:t>
      </w:r>
    </w:p>
    <w:p>
      <w:pPr>
        <w:pStyle w:val="style30"/>
        <w:jc w:val="center"/>
        <w:ind w:hanging="0" w:left="0" w:right="0"/>
      </w:pPr>
      <w:r>
        <w:rPr>
          <w:u w:val="single"/>
          <w:rFonts w:ascii="Times New Roman" w:hAnsi="Times New Roman"/>
        </w:rPr>
        <w:t xml:space="preserve">муниципальной программы, цели, задачи, сроки и этапы </w:t>
      </w:r>
    </w:p>
    <w:p>
      <w:pPr>
        <w:pStyle w:val="style30"/>
        <w:jc w:val="center"/>
        <w:ind w:hanging="0" w:left="0" w:right="0"/>
      </w:pPr>
      <w:r>
        <w:rPr>
          <w:u w:val="single"/>
          <w:rFonts w:ascii="Times New Roman" w:hAnsi="Times New Roman"/>
        </w:rPr>
        <w:t>реализации муниципальной подпрограммы</w:t>
      </w:r>
    </w:p>
    <w:p>
      <w:pPr>
        <w:pStyle w:val="style30"/>
      </w:pPr>
      <w:r>
        <w:rPr>
          <w:u w:val="single"/>
          <w:rFonts w:ascii="Times New Roman" w:hAnsi="Times New Roman"/>
        </w:rPr>
      </w:r>
    </w:p>
    <w:p>
      <w:pPr>
        <w:pStyle w:val="style30"/>
      </w:pPr>
      <w:r>
        <w:rPr>
          <w:rFonts w:ascii="Times New Roman" w:hAnsi="Times New Roman"/>
        </w:rPr>
        <w:t>Стратегическими приоритетами социально-экономического развития города Рассказово, требующие решения в рамках муниципальных программ на 2014 год и планируемый период 2015 и 2016 годов являются;</w:t>
      </w:r>
    </w:p>
    <w:p>
      <w:pPr>
        <w:pStyle w:val="style30"/>
      </w:pPr>
      <w:r>
        <w:rPr>
          <w:rFonts w:ascii="Times New Roman" w:hAnsi="Times New Roman"/>
        </w:rPr>
        <w:t>1.Повышение качества жизни (обеспечение социальной поддержки граждан и повышение социальной защищенности в обществе);</w:t>
      </w:r>
    </w:p>
    <w:p>
      <w:pPr>
        <w:pStyle w:val="style30"/>
      </w:pPr>
      <w:r>
        <w:rPr>
          <w:rFonts w:ascii="Times New Roman" w:hAnsi="Times New Roman"/>
        </w:rPr>
        <w:t>2. Развитие образовательного, культурного и духовного потенциала (обеспечение доступности образования и безопасности образовательного процесса, развитие культуры, физической культуры и пропаганда здорового образа жизни, развитие туризма);</w:t>
      </w:r>
    </w:p>
    <w:p>
      <w:pPr>
        <w:pStyle w:val="style30"/>
      </w:pPr>
      <w:r>
        <w:rPr>
          <w:rFonts w:ascii="Times New Roman" w:hAnsi="Times New Roman"/>
        </w:rPr>
        <w:t>3. Обеспечение условий безопасного проживания (о</w:t>
      </w:r>
      <w:r>
        <w:rPr>
          <w:color w:val="000000"/>
          <w:rFonts w:ascii="Times New Roman" w:hAnsi="Times New Roman"/>
        </w:rPr>
        <w:t>беспечение мер по противодействию терроризму и экстремизму, профилактика правонарушений и борьба с преступностью, повышение безопасности дорожного движения, снижение рисков и смягчение последствий ЧС природного и техногенного характера, пожарной безопасности, безопасности на водных объектах, о</w:t>
      </w:r>
      <w:r>
        <w:rPr>
          <w:rFonts w:ascii="Times New Roman" w:hAnsi="Times New Roman"/>
        </w:rPr>
        <w:t>храна окружающей среды, воспроизводство и использование природных ресурсов);</w:t>
      </w:r>
    </w:p>
    <w:p>
      <w:pPr>
        <w:pStyle w:val="style30"/>
      </w:pPr>
      <w:r>
        <w:rPr>
          <w:rFonts w:ascii="Times New Roman" w:hAnsi="Times New Roman"/>
        </w:rPr>
        <w:t>4. Повышение качества проживания (обеспечение населения комфортным и доступным жильём, а также качественными коммунальными услугами, развитие дорожной сети и общественной инфраструктуры, развитие благоустройства города);</w:t>
      </w:r>
    </w:p>
    <w:p>
      <w:pPr>
        <w:pStyle w:val="style30"/>
      </w:pPr>
      <w:r>
        <w:rPr>
          <w:rFonts w:ascii="Times New Roman" w:hAnsi="Times New Roman"/>
        </w:rPr>
        <w:t>5. Инновационное развитие и модернизация экономики (развитие промышленности и повышение ее конкурентоспособности, развитие малого и среднего предпринимательства, энергосбережение и повышение энергетической эффективности);</w:t>
      </w:r>
    </w:p>
    <w:p>
      <w:pPr>
        <w:pStyle w:val="style30"/>
      </w:pPr>
      <w:r>
        <w:rPr>
          <w:rFonts w:ascii="Times New Roman" w:hAnsi="Times New Roman"/>
        </w:rPr>
        <w:t>6. Эффективное муниципальное управление и формирование гражданского общества (обеспечение открытости и доступности деятельности органов местного самоуправления, эффективное управление финансами и муниципальной собственностью, развитие институтов гражданского общества).</w:t>
      </w:r>
    </w:p>
    <w:p>
      <w:pPr>
        <w:pStyle w:val="style30"/>
      </w:pPr>
      <w:r>
        <w:rPr>
          <w:rFonts w:ascii="Times New Roman" w:hAnsi="Times New Roman"/>
        </w:rPr>
        <w:t>Основные проблемы в сфере реализации подпрограммы:</w:t>
      </w:r>
    </w:p>
    <w:p>
      <w:pPr>
        <w:pStyle w:val="style30"/>
      </w:pPr>
      <w:r>
        <w:rPr>
          <w:rFonts w:ascii="Times New Roman" w:hAnsi="Times New Roman"/>
        </w:rPr>
        <w:t>- недостаточно высокий уровень конкурентоспособности выпускаемой продукции, товаров и услуг;</w:t>
      </w:r>
    </w:p>
    <w:p>
      <w:pPr>
        <w:pStyle w:val="style30"/>
      </w:pPr>
      <w:r>
        <w:rPr>
          <w:rFonts w:ascii="Times New Roman" w:hAnsi="Times New Roman"/>
        </w:rPr>
        <w:t>-высокие кредиторская и дебиторская задолженности, снижение финансовых результатов предприятий вследствие влияния финансово-экономического кризиса;</w:t>
      </w:r>
    </w:p>
    <w:p>
      <w:pPr>
        <w:pStyle w:val="style30"/>
      </w:pPr>
      <w:r>
        <w:rPr>
          <w:rFonts w:ascii="Times New Roman" w:hAnsi="Times New Roman"/>
        </w:rPr>
        <w:t>- высокий износ основных фондов, низкие темпы техперевооружения;</w:t>
      </w:r>
    </w:p>
    <w:p>
      <w:pPr>
        <w:pStyle w:val="style30"/>
      </w:pPr>
      <w:r>
        <w:rPr>
          <w:rFonts w:ascii="Times New Roman" w:hAnsi="Times New Roman"/>
        </w:rPr>
        <w:t>-высокие тарифы на услуги естественных монополий;</w:t>
      </w:r>
    </w:p>
    <w:p>
      <w:pPr>
        <w:pStyle w:val="style30"/>
      </w:pPr>
      <w:r>
        <w:rPr>
          <w:rFonts w:ascii="Times New Roman" w:hAnsi="Times New Roman"/>
        </w:rPr>
        <w:t>-высокий уровень налогообложения;</w:t>
      </w:r>
    </w:p>
    <w:p>
      <w:pPr>
        <w:pStyle w:val="style30"/>
      </w:pPr>
      <w:r>
        <w:rPr>
          <w:rFonts w:ascii="Times New Roman" w:hAnsi="Times New Roman"/>
        </w:rPr>
        <w:t>- сокращение доли инвестиций, направленных на развитие обрабатывающих производств;</w:t>
      </w:r>
    </w:p>
    <w:p>
      <w:pPr>
        <w:pStyle w:val="style30"/>
      </w:pPr>
      <w:r>
        <w:rPr>
          <w:rFonts w:ascii="Times New Roman" w:hAnsi="Times New Roman"/>
        </w:rPr>
        <w:t>-невысокий уровень развития малого предпринимательства в промышленности;</w:t>
      </w:r>
    </w:p>
    <w:p>
      <w:pPr>
        <w:pStyle w:val="style30"/>
      </w:pPr>
      <w:r>
        <w:rPr>
          <w:rFonts w:ascii="Times New Roman" w:hAnsi="Times New Roman"/>
        </w:rPr>
        <w:t>- большинство субъектов малого и среднего предпринимательства области не располагают достаточными средствами для обеспечения выполнения обязательств перед кредитными организациями. Не получили достаточного развития лизинговые отношения;</w:t>
      </w:r>
    </w:p>
    <w:p>
      <w:pPr>
        <w:pStyle w:val="style30"/>
      </w:pPr>
      <w:r>
        <w:rPr>
          <w:rFonts w:ascii="Times New Roman" w:hAnsi="Times New Roman"/>
        </w:rPr>
        <w:t>- специальные налоговые режимы, предназначенные в основном для субъектов малого предпринимательства, требуют дальнейшей оптимизации;</w:t>
      </w:r>
    </w:p>
    <w:p>
      <w:pPr>
        <w:pStyle w:val="style30"/>
      </w:pPr>
      <w:r>
        <w:rPr>
          <w:rFonts w:ascii="Times New Roman" w:hAnsi="Times New Roman"/>
        </w:rPr>
        <w:t>- недостаточный уровень инновационной активности, а именно: не сформирован рынок инноваций, высокая стоимость нововведений, отсутствие эффективных связей между наукой и производством, неразвитость малого инновационного предпринимательства;</w:t>
      </w:r>
    </w:p>
    <w:p>
      <w:pPr>
        <w:pStyle w:val="style30"/>
      </w:pPr>
      <w:r>
        <w:rPr>
          <w:rFonts w:ascii="Times New Roman" w:hAnsi="Times New Roman"/>
        </w:rPr>
        <w:t>-дефицит высококвалифицированных рабочих массовых профессий и инженерно-технических работников;</w:t>
      </w:r>
    </w:p>
    <w:p>
      <w:pPr>
        <w:pStyle w:val="style30"/>
      </w:pPr>
      <w:r>
        <w:rPr>
          <w:rFonts w:ascii="Times New Roman" w:hAnsi="Times New Roman"/>
        </w:rPr>
        <w:t>-демографические проблемы, проявляющиеся в процессе старения населения (ухудшение соотношения возрастных групп моложе и старше трудоспособного возраста);</w:t>
      </w:r>
    </w:p>
    <w:p>
      <w:pPr>
        <w:pStyle w:val="style30"/>
      </w:pPr>
      <w:r>
        <w:rPr>
          <w:rFonts w:ascii="Times New Roman" w:hAnsi="Times New Roman"/>
        </w:rPr>
        <w:t>- высокая зависимость показателей социально-экономического развития области от макроэкономических показателей развития Российской Федерации.</w:t>
      </w:r>
    </w:p>
    <w:p>
      <w:pPr>
        <w:pStyle w:val="style30"/>
      </w:pPr>
      <w:r>
        <w:rPr>
          <w:rFonts w:ascii="Times New Roman" w:hAnsi="Times New Roman"/>
        </w:rPr>
        <w:t>Исходя из обозначенных выше основных проблем и приоритетов развития города, целью настоящей подпрограммы является повышение конкурентоспособности экономики и инвестиционной привлекательности города.</w:t>
      </w:r>
    </w:p>
    <w:p>
      <w:pPr>
        <w:pStyle w:val="style30"/>
      </w:pPr>
      <w:r>
        <w:rPr>
          <w:rFonts w:ascii="Times New Roman" w:hAnsi="Times New Roman"/>
        </w:rPr>
        <w:t>Достижение заявленных целей потребует решения следующих задач:</w:t>
      </w:r>
    </w:p>
    <w:p>
      <w:pPr>
        <w:pStyle w:val="style27"/>
        <w:ind w:firstLine="708" w:left="0" w:right="0"/>
      </w:pPr>
      <w:r>
        <w:rPr>
          <w:rFonts w:ascii="Times New Roman" w:cs="Times New Roman" w:hAnsi="Times New Roman"/>
        </w:rPr>
        <w:t xml:space="preserve">формирование </w:t>
      </w:r>
      <w:r>
        <w:rPr>
          <w:szCs w:val="28"/>
        </w:rPr>
        <w:t>современного высоко технологического промышленного комплекса, способного конкурировать на общероссийском и международном уровнях;</w:t>
      </w:r>
    </w:p>
    <w:p>
      <w:pPr>
        <w:pStyle w:val="style27"/>
        <w:ind w:firstLine="708" w:left="0" w:right="0"/>
      </w:pPr>
      <w:r>
        <w:rPr>
          <w:szCs w:val="28"/>
        </w:rPr>
        <w:t>создание благоприятных условий для эффективного развития субъектов малого и среднего предпринимательства в целях повышения его роли в реализации социально-экономических задач на территории города, обеспечение занятости населения и развитие самозанятости;</w:t>
      </w:r>
    </w:p>
    <w:p>
      <w:pPr>
        <w:pStyle w:val="style27"/>
        <w:ind w:firstLine="708" w:left="0" w:right="0"/>
      </w:pPr>
      <w:r>
        <w:rPr>
          <w:szCs w:val="28"/>
        </w:rPr>
        <w:t xml:space="preserve">создание населению города комфортных условий для приобретения качественных и безопасных товаров, ориентированных на разные социальные группы потребителей, в первую очередь отечественного производства, в пределах территориальной доступности; </w:t>
      </w:r>
    </w:p>
    <w:p>
      <w:pPr>
        <w:pStyle w:val="style27"/>
        <w:ind w:firstLine="708" w:left="0" w:right="0"/>
      </w:pPr>
      <w:r>
        <w:rPr>
          <w:rFonts w:ascii="Times New Roman" w:cs="Times New Roman" w:hAnsi="Times New Roman"/>
        </w:rPr>
        <w:t xml:space="preserve">привлечение инвестиций в экономику города. </w:t>
      </w:r>
    </w:p>
    <w:p>
      <w:pPr>
        <w:pStyle w:val="style30"/>
      </w:pPr>
      <w:r>
        <w:rPr>
          <w:rFonts w:ascii="Times New Roman" w:hAnsi="Times New Roman"/>
        </w:rPr>
        <w:t>Ожидаемые конечные результаты и социально-экономические последствия реализации муниципальной программы станут существенным вкладом в достижение важнейших стратегических целей социально-экономического развития города.</w:t>
      </w:r>
    </w:p>
    <w:p>
      <w:pPr>
        <w:pStyle w:val="style30"/>
      </w:pPr>
      <w:r>
        <w:rPr>
          <w:rFonts w:ascii="Times New Roman" w:hAnsi="Times New Roman"/>
        </w:rPr>
        <w:t>Сроки реализации муниципальной программы 2014-2020 годы. Выделение этапов не предусматривается.</w:t>
      </w:r>
    </w:p>
    <w:p>
      <w:pPr>
        <w:pStyle w:val="style30"/>
      </w:pPr>
      <w:r>
        <w:rPr>
          <w:rFonts w:ascii="Times New Roman" w:hAnsi="Times New Roman"/>
        </w:rPr>
      </w:r>
    </w:p>
    <w:p>
      <w:pPr>
        <w:pStyle w:val="style30"/>
        <w:jc w:val="center"/>
      </w:pPr>
      <w:r>
        <w:rPr>
          <w:u w:val="single"/>
          <w:rFonts w:ascii="Times New Roman" w:hAnsi="Times New Roman"/>
        </w:rPr>
        <w:t>3. Показатели (индикаторы) достижения целей и решения задач,</w:t>
      </w:r>
    </w:p>
    <w:p>
      <w:pPr>
        <w:pStyle w:val="style30"/>
        <w:jc w:val="center"/>
      </w:pPr>
      <w:r>
        <w:rPr>
          <w:u w:val="single"/>
          <w:rFonts w:ascii="Times New Roman" w:hAnsi="Times New Roman"/>
        </w:rPr>
        <w:t>основные ожидаемые результаты муниципальной программы</w:t>
      </w:r>
    </w:p>
    <w:p>
      <w:pPr>
        <w:pStyle w:val="style30"/>
      </w:pPr>
      <w:r>
        <w:rPr>
          <w:u w:val="single"/>
          <w:szCs w:val="24"/>
          <w:rFonts w:ascii="Times New Roman" w:hAnsi="Times New Roman"/>
        </w:rPr>
      </w:r>
    </w:p>
    <w:p>
      <w:pPr>
        <w:pStyle w:val="style30"/>
      </w:pPr>
      <w:r>
        <w:rPr>
          <w:rFonts w:ascii="Times New Roman" w:hAnsi="Times New Roman"/>
        </w:rPr>
        <w:t xml:space="preserve">Показателями достижения цели «Повышение конкурентоспособности экономики и инвестиционной привлекательности города» являются: </w:t>
      </w:r>
    </w:p>
    <w:p>
      <w:pPr>
        <w:pStyle w:val="style30"/>
      </w:pPr>
      <w:r>
        <w:rPr>
          <w:szCs w:val="24"/>
          <w:rFonts w:ascii="Times New Roman" w:hAnsi="Times New Roman"/>
        </w:rPr>
        <w:t>Задача 1:</w:t>
      </w:r>
      <w:r>
        <w:rPr>
          <w:rFonts w:ascii="Times New Roman" w:hAnsi="Times New Roman"/>
        </w:rPr>
        <w:t xml:space="preserve"> </w:t>
      </w:r>
      <w:r>
        <w:rPr>
          <w:szCs w:val="24"/>
          <w:rFonts w:ascii="Times New Roman" w:hAnsi="Times New Roman"/>
        </w:rPr>
        <w:t>Формирование современного высоко технологического промышленного комплекса, способного конкурировать на общероссийском и международном уровнях</w:t>
      </w:r>
      <w:r>
        <w:rPr>
          <w:rFonts w:ascii="Times New Roman" w:hAnsi="Times New Roman"/>
        </w:rPr>
        <w:t xml:space="preserve"> </w:t>
      </w:r>
    </w:p>
    <w:p>
      <w:pPr>
        <w:pStyle w:val="style30"/>
      </w:pPr>
      <w:r>
        <w:rPr>
          <w:szCs w:val="24"/>
          <w:rFonts w:ascii="Times New Roman" w:hAnsi="Times New Roman"/>
        </w:rPr>
        <w:t>- темп роста объема отгрузки продукции промышленного производства - 115 %;</w:t>
      </w:r>
    </w:p>
    <w:p>
      <w:pPr>
        <w:pStyle w:val="style30"/>
      </w:pPr>
      <w:r>
        <w:rPr>
          <w:szCs w:val="24"/>
          <w:rFonts w:ascii="Times New Roman" w:hAnsi="Times New Roman"/>
        </w:rPr>
        <w:t>Задача 2: Создание благоприятных условий для эффективного развития субъектов малого и среднего предпринимательства в целях повышения его роли в реализации социально-экономических задач на территории города, обеспечение занятости населения и развитие самозанятости:</w:t>
      </w:r>
    </w:p>
    <w:p>
      <w:pPr>
        <w:pStyle w:val="style30"/>
      </w:pPr>
      <w:r>
        <w:rPr>
          <w:szCs w:val="24"/>
          <w:rFonts w:ascii="Times New Roman" w:hAnsi="Times New Roman"/>
        </w:rPr>
        <w:t>- доля среднесписочной численности работников (без внешних совместителей) малых и средних предприятий в среднесписочной численности работников без внешних совместителей) всех предприятий и организаций города - 41,3 %;</w:t>
      </w:r>
    </w:p>
    <w:p>
      <w:pPr>
        <w:pStyle w:val="style30"/>
      </w:pPr>
      <w:r>
        <w:rPr>
          <w:rFonts w:ascii="Times New Roman" w:hAnsi="Times New Roman"/>
        </w:rPr>
        <w:t>- создание дополнительных рабочих мест в малых и средних предприятиях - 140 единиц;</w:t>
      </w:r>
    </w:p>
    <w:p>
      <w:pPr>
        <w:pStyle w:val="style30"/>
      </w:pPr>
      <w:r>
        <w:rPr>
          <w:szCs w:val="24"/>
          <w:rFonts w:ascii="Times New Roman" w:hAnsi="Times New Roman"/>
        </w:rPr>
        <w:t xml:space="preserve">Задача 3: </w:t>
      </w:r>
      <w:r>
        <w:rPr>
          <w:rFonts w:ascii="Times New Roman" w:hAnsi="Times New Roman"/>
        </w:rPr>
        <w:t>Создание населению города комфортных условий для приобретения качественных и безопасных товаров, ориентированных на разные социальные группы потребителей, в первую очередь отечественного производства, в пределах территориальной доступности:</w:t>
      </w:r>
    </w:p>
    <w:p>
      <w:pPr>
        <w:pStyle w:val="style30"/>
      </w:pPr>
      <w:r>
        <w:rPr>
          <w:rFonts w:ascii="Times New Roman" w:hAnsi="Times New Roman"/>
        </w:rPr>
        <w:t>- индекс физического объема розничного товарооборота  во всех каналах реализации - 111,5 %;</w:t>
      </w:r>
    </w:p>
    <w:p>
      <w:pPr>
        <w:pStyle w:val="style30"/>
      </w:pPr>
      <w:r>
        <w:rPr>
          <w:szCs w:val="24"/>
          <w:rFonts w:ascii="Times New Roman" w:hAnsi="Times New Roman"/>
        </w:rPr>
        <w:t>- индекс физического объема розничного товарооборота  рынка - 103,8%;</w:t>
      </w:r>
    </w:p>
    <w:p>
      <w:pPr>
        <w:pStyle w:val="style30"/>
      </w:pPr>
      <w:r>
        <w:rPr>
          <w:rFonts w:ascii="Times New Roman" w:hAnsi="Times New Roman"/>
        </w:rPr>
        <w:t>Задача 4: Привлечение инвестиций в экономику города:</w:t>
      </w:r>
    </w:p>
    <w:p>
      <w:pPr>
        <w:pStyle w:val="style30"/>
      </w:pPr>
      <w:r>
        <w:rPr>
          <w:rFonts w:ascii="Times New Roman" w:hAnsi="Times New Roman"/>
        </w:rPr>
        <w:t>- индекс физического объема инвестиций в основной капитал - 118 %;</w:t>
      </w:r>
    </w:p>
    <w:p>
      <w:pPr>
        <w:pStyle w:val="style30"/>
      </w:pPr>
      <w:r>
        <w:rPr>
          <w:rFonts w:ascii="Times New Roman" w:hAnsi="Times New Roman"/>
        </w:rPr>
        <w:t xml:space="preserve">- инвестиции в основной капитал (за исключением бюджетных средств) в расчете на одного человека - </w:t>
      </w:r>
      <w:r>
        <w:rPr>
          <w:szCs w:val="24"/>
          <w:rFonts w:ascii="Times New Roman" w:hAnsi="Times New Roman"/>
        </w:rPr>
        <w:t>9730 рублей</w:t>
      </w:r>
      <w:r>
        <w:rPr>
          <w:rFonts w:ascii="Times New Roman" w:hAnsi="Times New Roman"/>
        </w:rPr>
        <w:t>;</w:t>
      </w:r>
    </w:p>
    <w:p>
      <w:pPr>
        <w:pStyle w:val="style30"/>
      </w:pPr>
      <w:r>
        <w:rPr>
          <w:rFonts w:ascii="Times New Roman" w:hAnsi="Times New Roman"/>
        </w:rPr>
        <w:t>Расшифровка плановых значений подпрограммы по годам реализации представлены в приложении N 1 к муниципальной программе.</w:t>
      </w:r>
    </w:p>
    <w:p>
      <w:pPr>
        <w:pStyle w:val="style30"/>
      </w:pPr>
      <w:r>
        <w:rPr>
          <w:u w:val="single"/>
          <w:rFonts w:ascii="Times New Roman" w:hAnsi="Times New Roman"/>
        </w:rPr>
      </w:r>
    </w:p>
    <w:p>
      <w:pPr>
        <w:pStyle w:val="style30"/>
        <w:jc w:val="center"/>
      </w:pPr>
      <w:r>
        <w:rPr>
          <w:u w:val="single"/>
          <w:rFonts w:ascii="Times New Roman" w:hAnsi="Times New Roman"/>
        </w:rPr>
        <w:t>4. Обобщенная характеристика мероприятий программы</w:t>
      </w:r>
    </w:p>
    <w:p>
      <w:pPr>
        <w:pStyle w:val="style30"/>
      </w:pPr>
      <w:r>
        <w:rPr>
          <w:rFonts w:ascii="Times New Roman" w:hAnsi="Times New Roman"/>
        </w:rPr>
      </w:r>
    </w:p>
    <w:p>
      <w:pPr>
        <w:pStyle w:val="style30"/>
      </w:pPr>
      <w:r>
        <w:rPr>
          <w:rFonts w:ascii="Times New Roman" w:hAnsi="Times New Roman"/>
        </w:rPr>
        <w:t>Задачи подпрограммы имеют систему целевых ориентиров, согласующихся с целями муниципальной программы и подкрепленных конкретными мероприятиями.</w:t>
      </w:r>
    </w:p>
    <w:p>
      <w:pPr>
        <w:pStyle w:val="style30"/>
      </w:pPr>
      <w:r>
        <w:rPr>
          <w:rFonts w:ascii="Times New Roman" w:hAnsi="Times New Roman"/>
        </w:rPr>
        <w:t>Достижение заявленных целей и решение поставленных задач подпрограммы будет осуществляться в рамках реализации следующих направлений:</w:t>
      </w:r>
    </w:p>
    <w:p>
      <w:pPr>
        <w:pStyle w:val="style30"/>
      </w:pPr>
      <w:r>
        <w:rPr>
          <w:rFonts w:ascii="Times New Roman" w:hAnsi="Times New Roman"/>
        </w:rPr>
        <w:t>В целях формирования современного высоко технологического промышленного комплекса, способного конкурировать на общероссийском и международном уровнях:</w:t>
      </w:r>
    </w:p>
    <w:p>
      <w:pPr>
        <w:pStyle w:val="style30"/>
      </w:pPr>
      <w:r>
        <w:rPr>
          <w:rFonts w:ascii="Times New Roman" w:hAnsi="Times New Roman"/>
        </w:rPr>
        <w:t>- обеспечение экономического подъема за счет привлечения инвестиций в производство;</w:t>
      </w:r>
    </w:p>
    <w:p>
      <w:pPr>
        <w:pStyle w:val="style30"/>
      </w:pPr>
      <w:r>
        <w:rPr>
          <w:rFonts w:ascii="Times New Roman" w:hAnsi="Times New Roman"/>
        </w:rPr>
        <w:t>- создание подготовленных новых «промышленных площадок» в дополнение к трем существующим;</w:t>
      </w:r>
    </w:p>
    <w:p>
      <w:pPr>
        <w:pStyle w:val="style30"/>
      </w:pPr>
      <w:r>
        <w:rPr>
          <w:rFonts w:ascii="Times New Roman" w:hAnsi="Times New Roman"/>
        </w:rPr>
        <w:t>- развитие государственно-частного партнерства;</w:t>
      </w:r>
    </w:p>
    <w:p>
      <w:pPr>
        <w:pStyle w:val="style30"/>
      </w:pPr>
      <w:r>
        <w:rPr>
          <w:rFonts w:ascii="Times New Roman" w:hAnsi="Times New Roman"/>
        </w:rPr>
        <w:t>- активизация инвестиционной деятельности хозяйствующих субъектов;</w:t>
      </w:r>
    </w:p>
    <w:p>
      <w:pPr>
        <w:pStyle w:val="style30"/>
      </w:pPr>
      <w:r>
        <w:rPr>
          <w:rFonts w:ascii="Times New Roman" w:hAnsi="Times New Roman"/>
        </w:rPr>
        <w:t>- привлечение предприятий города к участию в выставочно-ярмарочной деятельности;</w:t>
      </w:r>
    </w:p>
    <w:p>
      <w:pPr>
        <w:pStyle w:val="style30"/>
      </w:pPr>
      <w:r>
        <w:rPr>
          <w:rFonts w:ascii="Times New Roman" w:hAnsi="Times New Roman"/>
        </w:rPr>
        <w:t>- вовлечение в размещение муниципального заказа местных товаропроизводителей для содействия обеспечению загрузки их производственных мощностей;</w:t>
      </w:r>
    </w:p>
    <w:p>
      <w:pPr>
        <w:pStyle w:val="style30"/>
      </w:pPr>
      <w:r>
        <w:rPr>
          <w:rFonts w:ascii="Times New Roman" w:hAnsi="Times New Roman"/>
        </w:rPr>
        <w:t>- создание благоприятных условий для эффективного развития субъектов малого и среднего предпринимательства</w:t>
      </w:r>
      <w:r>
        <w:rPr>
          <w:color w:val="1F497D"/>
          <w:rFonts w:ascii="Times New Roman" w:hAnsi="Times New Roman"/>
        </w:rPr>
        <w:t xml:space="preserve"> в промышленной сфере;</w:t>
      </w:r>
    </w:p>
    <w:p>
      <w:pPr>
        <w:pStyle w:val="style30"/>
      </w:pPr>
      <w:r>
        <w:rPr>
          <w:rFonts w:ascii="Times New Roman" w:hAnsi="Times New Roman"/>
        </w:rPr>
        <w:t>- повышения его роли малого и среднего предпринимательства</w:t>
      </w:r>
      <w:r>
        <w:rPr>
          <w:color w:val="1F497D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 реализации социально-экономических задач на территории города, обеспечение занятости населения и развитие самозанятости;</w:t>
      </w:r>
    </w:p>
    <w:p>
      <w:pPr>
        <w:pStyle w:val="style30"/>
      </w:pPr>
      <w:r>
        <w:rPr>
          <w:rFonts w:ascii="Times New Roman" w:hAnsi="Times New Roman"/>
        </w:rPr>
        <w:t>- создание населению города комфортных условий для приобретения качественных и безопасных товаров, ориентированных на разные социальные группы потребителей, в первую очередь отечественного производства, в пределах территориальной доступности;</w:t>
      </w:r>
    </w:p>
    <w:p>
      <w:pPr>
        <w:pStyle w:val="style30"/>
      </w:pPr>
      <w:r>
        <w:rPr>
          <w:rFonts w:ascii="Times New Roman" w:hAnsi="Times New Roman"/>
        </w:rPr>
        <w:t>- реализация мероприятий по развитию материально-технической базы торговли и общественного питания, внедрение современных форм обслуживания, развитие сети общедоступных объектов, ориентированную на различные группы населения.</w:t>
      </w:r>
    </w:p>
    <w:p>
      <w:pPr>
        <w:pStyle w:val="style22"/>
        <w:jc w:val="both"/>
        <w:ind w:firstLine="708" w:left="0" w:right="0"/>
      </w:pPr>
      <w:r>
        <w:rPr>
          <w:sz w:val="28"/>
        </w:rPr>
        <w:t>Перечень мероприятий подпрограммы с непосредственными результатами их реализации с разбивкой по годам реализации приведен в приложении N 2 к муниципальной программе.</w:t>
      </w:r>
    </w:p>
    <w:p>
      <w:pPr>
        <w:pStyle w:val="style30"/>
        <w:jc w:val="center"/>
      </w:pPr>
      <w:r>
        <w:rPr>
          <w:u w:val="single"/>
          <w:rFonts w:ascii="Times New Roman" w:hAnsi="Times New Roman"/>
        </w:rPr>
        <w:t xml:space="preserve">5. Обоснование объема финансовых ресурсов, </w:t>
      </w:r>
    </w:p>
    <w:p>
      <w:pPr>
        <w:pStyle w:val="style30"/>
        <w:jc w:val="center"/>
      </w:pPr>
      <w:r>
        <w:rPr>
          <w:u w:val="single"/>
          <w:rFonts w:ascii="Times New Roman" w:hAnsi="Times New Roman"/>
        </w:rPr>
        <w:t>необходимых для реализации муниципальной  программы</w:t>
      </w:r>
    </w:p>
    <w:p>
      <w:pPr>
        <w:pStyle w:val="style30"/>
      </w:pPr>
      <w:r>
        <w:rPr>
          <w:rFonts w:ascii="Times New Roman" w:hAnsi="Times New Roman"/>
        </w:rPr>
      </w:r>
    </w:p>
    <w:p>
      <w:pPr>
        <w:pStyle w:val="style30"/>
      </w:pPr>
      <w:r>
        <w:rPr>
          <w:rFonts w:ascii="Times New Roman" w:hAnsi="Times New Roman"/>
        </w:rPr>
        <w:t>Финансовое обеспечение реализации подпрограммы осуществляется за счет средств областного, местного бюджетов.</w:t>
      </w:r>
    </w:p>
    <w:p>
      <w:pPr>
        <w:pStyle w:val="style30"/>
      </w:pPr>
      <w:r>
        <w:rPr>
          <w:rFonts w:ascii="Times New Roman" w:hAnsi="Times New Roman"/>
        </w:rPr>
        <w:t>Распределение бюджетных ассигнований на реализацию подпрограммы утверждается законом Тамбовской области об областном бюджете на очередной финансовый год и на плановый период, а также решением городского Совета народных депутатов бюджете города Рассказово на очередной финансовый год и на плановый период.</w:t>
      </w:r>
    </w:p>
    <w:p>
      <w:pPr>
        <w:pStyle w:val="style28"/>
        <w:ind w:firstLine="708" w:left="0" w:right="0"/>
      </w:pPr>
      <w:r>
        <w:rPr/>
        <w:t>Объём финансирования подпрограммы за счёт всех источников финансирования на весь период реализации составляет –  17000 тыс. рублей.</w:t>
      </w:r>
    </w:p>
    <w:p>
      <w:pPr>
        <w:pStyle w:val="style30"/>
      </w:pPr>
      <w:r>
        <w:rPr>
          <w:rFonts w:ascii="Times New Roman" w:hAnsi="Times New Roman"/>
        </w:rPr>
        <w:t>Объем финансирования муниципальной программы за счет средств областного бюджета составляет 7000 тыс. рублей (41 %), местного бюджета - 10000 тыс. рублей (59 %).</w:t>
      </w:r>
    </w:p>
    <w:p>
      <w:pPr>
        <w:pStyle w:val="style30"/>
      </w:pPr>
      <w:r>
        <w:rPr>
          <w:rFonts w:ascii="Times New Roman" w:hAnsi="Times New Roman"/>
        </w:rPr>
        <w:t>Объемы бюджетных ассигнований из областного и местного бюджета уточняются ежегодно при формировании бюджета на очередной финансовый год и на плановый период.</w:t>
      </w:r>
    </w:p>
    <w:p>
      <w:pPr>
        <w:pStyle w:val="style30"/>
      </w:pPr>
      <w:r>
        <w:rPr>
          <w:rFonts w:ascii="Times New Roman" w:hAnsi="Times New Roman"/>
        </w:rPr>
        <w:t>Финансирование подпрограммы из внебюджетных источников не планируется.</w:t>
      </w:r>
    </w:p>
    <w:p>
      <w:pPr>
        <w:pStyle w:val="style22"/>
        <w:jc w:val="both"/>
        <w:ind w:firstLine="708" w:left="0" w:right="0"/>
      </w:pPr>
      <w:r>
        <w:rPr>
          <w:sz w:val="28"/>
          <w:szCs w:val="28"/>
        </w:rPr>
        <w:t>Более подробная информация по ресурсному обеспечению реализации мероприятий подпрограммы и прогнозной оценке на период до 2020 года в разрезе источников финансирования и периодов реализации представлена в приложении N 3 муниципальной программе.</w:t>
      </w:r>
    </w:p>
    <w:p>
      <w:pPr>
        <w:pStyle w:val="style28"/>
        <w:jc w:val="center"/>
      </w:pPr>
      <w:r>
        <w:rPr>
          <w:u w:val="single"/>
        </w:rPr>
      </w:r>
    </w:p>
    <w:p>
      <w:pPr>
        <w:pStyle w:val="style28"/>
        <w:jc w:val="center"/>
      </w:pPr>
      <w:r>
        <w:rPr>
          <w:u w:val="single"/>
        </w:rPr>
        <w:t>6. Механизмы реализации подпрограммы</w:t>
      </w:r>
    </w:p>
    <w:p>
      <w:pPr>
        <w:pStyle w:val="style28"/>
        <w:ind w:firstLine="708" w:left="0" w:right="0"/>
      </w:pPr>
      <w:r>
        <w:rPr/>
      </w:r>
    </w:p>
    <w:p>
      <w:pPr>
        <w:pStyle w:val="style28"/>
        <w:ind w:firstLine="708" w:left="0" w:right="0"/>
      </w:pPr>
      <w:r>
        <w:rPr/>
        <w:t>Разработчиком муниципальной программы является отдел по экономике, предпринимательству и социально-трудовым отношениям администрации города.</w:t>
      </w:r>
    </w:p>
    <w:p>
      <w:pPr>
        <w:pStyle w:val="style28"/>
        <w:ind w:firstLine="708" w:left="0" w:right="0"/>
      </w:pPr>
      <w:r>
        <w:rPr/>
        <w:t>Ответственным исполнителем подпрограммы является отдел по экономике, предпринимательству и социально-трудовым отношениям администрации города.</w:t>
      </w:r>
    </w:p>
    <w:p>
      <w:pPr>
        <w:pStyle w:val="style28"/>
        <w:ind w:firstLine="708" w:left="0" w:right="0"/>
      </w:pPr>
      <w:r>
        <w:rPr/>
        <w:t>Ответственным исполнителем организуется реализация мероприятий подпрограммы, готовятся отчеты о реализации, вносятся в нее изменения. Он несет ответственность за достижение показателей (индикаторов) подпрограммы, а также конечных результатов ее реализации.</w:t>
      </w:r>
    </w:p>
    <w:p>
      <w:pPr>
        <w:pStyle w:val="style28"/>
        <w:ind w:firstLine="708" w:left="0" w:right="0"/>
      </w:pPr>
      <w:r>
        <w:rPr/>
        <w:t>Информация о ходе реализации подпрограммы, достижении значений показателей (индикаторов), степени выполнения мероприятий подпрограммы разработчик размещает на официальном сайте в информационно-коммуникационной сети «Интернет».</w:t>
      </w:r>
    </w:p>
    <w:sectPr>
      <w:formProt w:val="off"/>
      <w:pgSz w:h="16837" w:w="11905"/>
      <w:textDirection w:val="lrTb"/>
      <w:pgNumType w:fmt="decimal"/>
      <w:type w:val="nextPage"/>
      <w:headerReference r:id="rId2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auto"/>
    <w:pitch w:val="default"/>
  </w:font>
</w:fonts>
</file>

<file path=word/header1.xml><?xml version="1.0" encoding="utf-8"?>
<w:hdr xmlns:w="http://schemas.openxmlformats.org/wordprocessingml/2006/main">
  <w:p>
    <w:pPr>
      <w:pStyle w:val="style31"/>
    </w:pPr>
    <w:r>
      <w:rPr/>
      <w:t xml:space="preserve">[ </w:t>
    </w:r>
  </w:p>
</w:hdr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Lucida Sans Unicode" w:hAnsi="Calibri"/>
      <w:lang w:bidi="ar-SA" w:eastAsia="ru-RU" w:val="ru-RU"/>
    </w:rPr>
  </w:style>
  <w:style w:styleId="style15" w:type="character">
    <w:name w:val="Default Paragraph Font"/>
    <w:next w:val="style15"/>
    <w:rPr/>
  </w:style>
  <w:style w:styleId="style16" w:type="character">
    <w:name w:val="Основной шрифт абзаца1"/>
    <w:next w:val="style16"/>
    <w:rPr/>
  </w:style>
  <w:style w:styleId="style17" w:type="character">
    <w:name w:val="Основной текст Знак"/>
    <w:basedOn w:val="style15"/>
    <w:next w:val="style17"/>
    <w:rPr/>
  </w:style>
  <w:style w:styleId="style18" w:type="character">
    <w:name w:val="Верхний колонтитул Знак"/>
    <w:basedOn w:val="style15"/>
    <w:next w:val="style18"/>
    <w:rPr/>
  </w:style>
  <w:style w:styleId="style19" w:type="character">
    <w:name w:val="Нижний колонтитул Знак"/>
    <w:basedOn w:val="style15"/>
    <w:next w:val="style19"/>
    <w:rPr/>
  </w:style>
  <w:style w:styleId="style20" w:type="character">
    <w:name w:val="Текст выноски Знак"/>
    <w:basedOn w:val="style15"/>
    <w:next w:val="style20"/>
    <w:rPr/>
  </w:style>
  <w:style w:styleId="style21" w:type="paragraph">
    <w:name w:val="Заголовок"/>
    <w:basedOn w:val="style0"/>
    <w:next w:val="style22"/>
    <w:pPr>
      <w:keepNext/>
      <w:spacing w:after="120" w:before="240"/>
    </w:pPr>
    <w:rPr>
      <w:sz w:val="28"/>
      <w:szCs w:val="28"/>
      <w:rFonts w:ascii="Arial" w:cs="Tahoma" w:eastAsia="Lucida Sans Unicode" w:hAnsi="Arial"/>
    </w:rPr>
  </w:style>
  <w:style w:styleId="style22" w:type="paragraph">
    <w:name w:val="Основной текст"/>
    <w:basedOn w:val="style0"/>
    <w:next w:val="style22"/>
    <w:pPr>
      <w:suppressAutoHyphens w:val="true"/>
      <w:spacing w:after="120" w:before="0" w:line="100" w:lineRule="atLeast"/>
    </w:pPr>
    <w:rPr>
      <w:sz w:val="24"/>
      <w:szCs w:val="20"/>
      <w:rFonts w:ascii="Times New Roman" w:cs="Times New Roman" w:eastAsia="Times New Roman" w:hAnsi="Times New Roman"/>
      <w:lang w:eastAsia="ar-SA"/>
    </w:rPr>
  </w:style>
  <w:style w:styleId="style23" w:type="paragraph">
    <w:name w:val="Список"/>
    <w:basedOn w:val="style22"/>
    <w:next w:val="style23"/>
    <w:pPr/>
    <w:rPr>
      <w:rFonts w:ascii="Arial" w:cs="Tahoma" w:hAnsi="Arial"/>
    </w:rPr>
  </w:style>
  <w:style w:styleId="style24" w:type="paragraph">
    <w:name w:val="Название"/>
    <w:basedOn w:val="style0"/>
    <w:next w:val="style24"/>
    <w:pPr>
      <w:suppressLineNumbers/>
      <w:spacing w:after="120" w:before="120"/>
    </w:pPr>
    <w:rPr>
      <w:sz w:val="20"/>
      <w:i/>
      <w:szCs w:val="24"/>
      <w:iCs/>
      <w:rFonts w:ascii="Arial" w:cs="Tahoma" w:hAnsi="Arial"/>
    </w:rPr>
  </w:style>
  <w:style w:styleId="style25" w:type="paragraph">
    <w:name w:val="Указатель"/>
    <w:basedOn w:val="style0"/>
    <w:next w:val="style25"/>
    <w:pPr>
      <w:suppressLineNumbers/>
    </w:pPr>
    <w:rPr>
      <w:rFonts w:ascii="Arial" w:cs="Tahoma" w:hAnsi="Arial"/>
    </w:rPr>
  </w:style>
  <w:style w:styleId="style26" w:type="paragraph">
    <w:name w:val="Обычный1"/>
    <w:next w:val="style26"/>
    <w:pPr>
      <w:widowControl w:val="off"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Lucida Sans Unicode" w:hAnsi="Calibri"/>
      <w:lang w:bidi="ar-SA" w:eastAsia="ru-RU" w:val="ru-RU"/>
    </w:rPr>
  </w:style>
  <w:style w:styleId="style27" w:type="paragraph">
    <w:name w:val="No Spacing"/>
    <w:next w:val="style27"/>
    <w:pPr>
      <w:widowControl w:val="off"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Lucida Sans Unicode" w:hAnsi="Calibri"/>
      <w:lang w:bidi="ar-SA" w:eastAsia="ru-RU" w:val="ru-RU"/>
    </w:rPr>
  </w:style>
  <w:style w:styleId="style28" w:type="paragraph">
    <w:name w:val="Ст. без интервала"/>
    <w:basedOn w:val="style27"/>
    <w:next w:val="style28"/>
    <w:pPr/>
    <w:rPr/>
  </w:style>
  <w:style w:styleId="style29" w:type="paragraph">
    <w:name w:val="Default"/>
    <w:next w:val="style29"/>
    <w:pPr>
      <w:widowControl w:val="off"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Lucida Sans Unicode" w:hAnsi="Calibri"/>
      <w:lang w:bidi="ar-SA" w:eastAsia="ru-RU" w:val="ru-RU"/>
    </w:rPr>
  </w:style>
  <w:style w:styleId="style30" w:type="paragraph">
    <w:name w:val="Основной текст 21"/>
    <w:basedOn w:val="style0"/>
    <w:next w:val="style30"/>
    <w:pPr/>
    <w:rPr/>
  </w:style>
  <w:style w:styleId="style31" w:type="paragraph">
    <w:name w:val="Верхний колонтитул"/>
    <w:basedOn w:val="style0"/>
    <w:next w:val="style31"/>
    <w:pPr>
      <w:tabs>
        <w:tab w:leader="none" w:pos="4677" w:val="center"/>
        <w:tab w:leader="none" w:pos="9355" w:val="right"/>
      </w:tabs>
      <w:suppressLineNumbers/>
      <w:spacing w:after="0" w:before="0" w:line="100" w:lineRule="atLeast"/>
    </w:pPr>
    <w:rPr/>
  </w:style>
  <w:style w:styleId="style32" w:type="paragraph">
    <w:name w:val="Нижний колонтитул"/>
    <w:basedOn w:val="style0"/>
    <w:next w:val="style32"/>
    <w:pPr>
      <w:tabs>
        <w:tab w:leader="none" w:pos="4677" w:val="center"/>
        <w:tab w:leader="none" w:pos="9355" w:val="right"/>
      </w:tabs>
      <w:suppressLineNumbers/>
      <w:spacing w:after="0" w:before="0" w:line="100" w:lineRule="atLeast"/>
    </w:pPr>
    <w:rPr/>
  </w:style>
  <w:style w:styleId="style33" w:type="paragraph">
    <w:name w:val="Balloon Text"/>
    <w:basedOn w:val="style0"/>
    <w:next w:val="style33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2013-11-18T09:20:00.00Z</dcterms:created>
  <dc:creator>Angel</dc:creator>
  <cp:lastModifiedBy>Angel</cp:lastModifiedBy>
  <cp:lastPrinted>2013-12-16T10:48:14.00Z</cp:lastPrinted>
  <dcterms:modified xsi:type="dcterms:W3CDTF">2013-11-27T08:11:00.00Z</dcterms:modified>
  <cp:revision>4</cp:revision>
</cp:coreProperties>
</file>